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209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jc w:val="center"/>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SUBCHAPTER M. SUBMETERING AND NONSUBMETERING FOR APARTMENTS AND MANUFACTURED HOME RENTAL COMMUNITIES AND OTHER MULTIPLE USE FACILITIES</w:t>
      </w:r>
    </w:p>
    <w:p w14:paraId="23D00E8F"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7FCB455C"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bookmarkStart w:id="0" w:name="13.501"/>
      <w:bookmarkStart w:id="1" w:name="74778.64332"/>
      <w:bookmarkEnd w:id="0"/>
      <w:bookmarkEnd w:id="1"/>
      <w:r w:rsidRPr="000D1E27">
        <w:rPr>
          <w:rFonts w:ascii="Times New Roman" w:eastAsia="Times New Roman" w:hAnsi="Times New Roman" w:cs="Times New Roman"/>
          <w:color w:val="000000"/>
          <w:sz w:val="20"/>
          <w:szCs w:val="20"/>
        </w:rPr>
        <w:t>Sec. 13.501.  DEFINITIONS.  In this subchapter:</w:t>
      </w:r>
    </w:p>
    <w:p w14:paraId="3430CA37"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(1)  "Apartment house" means one or more buildings containing five or more dwelling units which are occupied primarily for </w:t>
      </w:r>
      <w:proofErr w:type="spellStart"/>
      <w:r w:rsidRPr="000D1E27">
        <w:rPr>
          <w:rFonts w:ascii="Times New Roman" w:eastAsia="Times New Roman" w:hAnsi="Times New Roman" w:cs="Times New Roman"/>
          <w:color w:val="000000"/>
          <w:sz w:val="20"/>
          <w:szCs w:val="20"/>
        </w:rPr>
        <w:t>nontransient</w:t>
      </w:r>
      <w:proofErr w:type="spellEnd"/>
      <w:r w:rsidRPr="000D1E27">
        <w:rPr>
          <w:rFonts w:ascii="Times New Roman" w:eastAsia="Times New Roman" w:hAnsi="Times New Roman" w:cs="Times New Roman"/>
          <w:color w:val="000000"/>
          <w:sz w:val="20"/>
          <w:szCs w:val="20"/>
        </w:rPr>
        <w:t xml:space="preserve"> use, including a residential condominium whether rented or owner occupied, and having rental paid, if a dwelling unit is rented, at intervals of one month or longer.</w:t>
      </w:r>
    </w:p>
    <w:p w14:paraId="4ECA7A1E"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(1-a)  "Condominium manager" or "manager of a condominium" means a condominium unit owners' association organized under Section </w:t>
      </w:r>
      <w:hyperlink r:id="rId4" w:tgtFrame="new" w:history="1">
        <w:r w:rsidRPr="000D1E27">
          <w:rPr>
            <w:rFonts w:ascii="Times New Roman" w:eastAsia="Times New Roman" w:hAnsi="Times New Roman" w:cs="Times New Roman"/>
            <w:color w:val="0000FF"/>
            <w:sz w:val="20"/>
            <w:szCs w:val="20"/>
            <w:u w:val="single"/>
          </w:rPr>
          <w:t>82.101</w:t>
        </w:r>
      </w:hyperlink>
      <w:r w:rsidRPr="000D1E27">
        <w:rPr>
          <w:rFonts w:ascii="Times New Roman" w:eastAsia="Times New Roman" w:hAnsi="Times New Roman" w:cs="Times New Roman"/>
          <w:color w:val="000000"/>
          <w:sz w:val="20"/>
          <w:szCs w:val="20"/>
        </w:rPr>
        <w:t xml:space="preserve">, Property Code, or an incorporated or unincorporated entity comprising the council of owners under Chapter </w:t>
      </w:r>
      <w:hyperlink r:id="rId5" w:tgtFrame="new" w:history="1">
        <w:r w:rsidRPr="000D1E27">
          <w:rPr>
            <w:rFonts w:ascii="Times New Roman" w:eastAsia="Times New Roman" w:hAnsi="Times New Roman" w:cs="Times New Roman"/>
            <w:color w:val="0000FF"/>
            <w:sz w:val="20"/>
            <w:szCs w:val="20"/>
            <w:u w:val="single"/>
          </w:rPr>
          <w:t>81</w:t>
        </w:r>
      </w:hyperlink>
      <w:r w:rsidRPr="000D1E27">
        <w:rPr>
          <w:rFonts w:ascii="Times New Roman" w:eastAsia="Times New Roman" w:hAnsi="Times New Roman" w:cs="Times New Roman"/>
          <w:color w:val="000000"/>
          <w:sz w:val="20"/>
          <w:szCs w:val="20"/>
        </w:rPr>
        <w:t xml:space="preserve">, Property Code. </w:t>
      </w:r>
    </w:p>
    <w:p w14:paraId="48BBBE7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(2)  "Dwelling unit" means:</w:t>
      </w:r>
    </w:p>
    <w:p w14:paraId="6585E451"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228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  one or more rooms in an apartment house or condominium, suitable for occupancy as a residence, and containing kitchen and bathroom </w:t>
      </w:r>
      <w:proofErr w:type="gramStart"/>
      <w:r w:rsidRPr="000D1E27">
        <w:rPr>
          <w:rFonts w:ascii="Times New Roman" w:eastAsia="Times New Roman" w:hAnsi="Times New Roman" w:cs="Times New Roman"/>
          <w:color w:val="000000"/>
          <w:sz w:val="20"/>
          <w:szCs w:val="20"/>
        </w:rPr>
        <w:t>facilities;  or</w:t>
      </w:r>
      <w:proofErr w:type="gramEnd"/>
    </w:p>
    <w:p w14:paraId="5C94ED83"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228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(B)  a manufactured home in a manufactured home rental community.</w:t>
      </w:r>
    </w:p>
    <w:p w14:paraId="58689E9E"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(3)  "Customer" means the individual, firm, or corporation in whose name a master meter has been connected by the utility service provider.</w:t>
      </w:r>
    </w:p>
    <w:p w14:paraId="409A000B"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(4)  "</w:t>
      </w:r>
      <w:proofErr w:type="spellStart"/>
      <w:r w:rsidRPr="000D1E27">
        <w:rPr>
          <w:rFonts w:ascii="Times New Roman" w:eastAsia="Times New Roman" w:hAnsi="Times New Roman" w:cs="Times New Roman"/>
          <w:color w:val="000000"/>
          <w:sz w:val="20"/>
          <w:szCs w:val="20"/>
        </w:rPr>
        <w:t>Nonsubmetered</w:t>
      </w:r>
      <w:proofErr w:type="spellEnd"/>
      <w:r w:rsidRPr="000D1E27">
        <w:rPr>
          <w:rFonts w:ascii="Times New Roman" w:eastAsia="Times New Roman" w:hAnsi="Times New Roman" w:cs="Times New Roman"/>
          <w:color w:val="000000"/>
          <w:sz w:val="20"/>
          <w:szCs w:val="20"/>
        </w:rPr>
        <w:t xml:space="preserve"> master metered utility service" means water utility service that is master metered for the apartment house but not </w:t>
      </w:r>
      <w:proofErr w:type="spellStart"/>
      <w:r w:rsidRPr="000D1E27">
        <w:rPr>
          <w:rFonts w:ascii="Times New Roman" w:eastAsia="Times New Roman" w:hAnsi="Times New Roman" w:cs="Times New Roman"/>
          <w:color w:val="000000"/>
          <w:sz w:val="20"/>
          <w:szCs w:val="20"/>
        </w:rPr>
        <w:t>submetered</w:t>
      </w:r>
      <w:proofErr w:type="spellEnd"/>
      <w:r w:rsidRPr="000D1E27">
        <w:rPr>
          <w:rFonts w:ascii="Times New Roman" w:eastAsia="Times New Roman" w:hAnsi="Times New Roman" w:cs="Times New Roman"/>
          <w:color w:val="000000"/>
          <w:sz w:val="20"/>
          <w:szCs w:val="20"/>
        </w:rPr>
        <w:t>, and wastewater utility service based on master metered water utility service.</w:t>
      </w:r>
    </w:p>
    <w:p w14:paraId="6F008E5E"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(5)  "Owner" means the legal titleholder of an apartment house, manufactured home rental community, or multiple use facility and any individual, firm, or corporation expressly identified in a lease agreement as the landlord of tenants in the apartment house, manufactured home rental community, or multiple use facility.  The term does not include the manager of an apartment home unless the manager is expressly identified as the landlord in the lease agreement.</w:t>
      </w:r>
    </w:p>
    <w:p w14:paraId="0362AD54"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(6)  "Tenant" means a person who is entitled to occupy a dwelling unit or multiple use facility unit to the exclusion of others and who is obligated to pay for the occupancy under a written or oral rental agreement.</w:t>
      </w:r>
    </w:p>
    <w:p w14:paraId="7BA028AF"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(7)  "Multiple use facility" means commercial or industrial parks, office complexes, marinas, and others specifically identified in utility commission rules with five or more units.</w:t>
      </w:r>
    </w:p>
    <w:p w14:paraId="4A45B21E"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(8)  "Manufactured home rental community" means a property on which spaces are rented for the occupancy of manufactured homes for </w:t>
      </w:r>
      <w:proofErr w:type="spellStart"/>
      <w:r w:rsidRPr="000D1E27">
        <w:rPr>
          <w:rFonts w:ascii="Times New Roman" w:eastAsia="Times New Roman" w:hAnsi="Times New Roman" w:cs="Times New Roman"/>
          <w:color w:val="000000"/>
          <w:sz w:val="20"/>
          <w:szCs w:val="20"/>
        </w:rPr>
        <w:t>nontransient</w:t>
      </w:r>
      <w:proofErr w:type="spellEnd"/>
      <w:r w:rsidRPr="000D1E27">
        <w:rPr>
          <w:rFonts w:ascii="Times New Roman" w:eastAsia="Times New Roman" w:hAnsi="Times New Roman" w:cs="Times New Roman"/>
          <w:color w:val="000000"/>
          <w:sz w:val="20"/>
          <w:szCs w:val="20"/>
        </w:rPr>
        <w:t xml:space="preserve"> residential use and for which rental is paid at intervals of one month or longer.</w:t>
      </w:r>
    </w:p>
    <w:p w14:paraId="6ECEFC24"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(9)  "Utility costs" or "utility service costs" means any amount charged to the owner by a retail public utility for water or wastewater service.</w:t>
      </w:r>
    </w:p>
    <w:p w14:paraId="15ABE9B7"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7F31D609"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lastRenderedPageBreak/>
        <w:t xml:space="preserve">Amended by Acts 1989, 71st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567, Sec. 43, eff. Sept. 1, </w:t>
      </w:r>
      <w:proofErr w:type="gramStart"/>
      <w:r w:rsidRPr="000D1E27">
        <w:rPr>
          <w:rFonts w:ascii="Times New Roman" w:eastAsia="Times New Roman" w:hAnsi="Times New Roman" w:cs="Times New Roman"/>
          <w:color w:val="000000"/>
          <w:sz w:val="20"/>
          <w:szCs w:val="20"/>
        </w:rPr>
        <w:t>1989;  Acts</w:t>
      </w:r>
      <w:proofErr w:type="gramEnd"/>
      <w:r w:rsidRPr="000D1E27">
        <w:rPr>
          <w:rFonts w:ascii="Times New Roman" w:eastAsia="Times New Roman" w:hAnsi="Times New Roman" w:cs="Times New Roman"/>
          <w:color w:val="000000"/>
          <w:sz w:val="20"/>
          <w:szCs w:val="20"/>
        </w:rPr>
        <w:t xml:space="preserve"> 1999, 76th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86, Sec. 1, eff. Aug. 30, 1999.</w:t>
      </w:r>
    </w:p>
    <w:p w14:paraId="35ED1F31"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w:t>
      </w:r>
    </w:p>
    <w:p w14:paraId="64D26175"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170 (H.B. </w:t>
      </w:r>
      <w:hyperlink r:id="rId6" w:tgtFrame="new" w:history="1">
        <w:r w:rsidRPr="000D1E27">
          <w:rPr>
            <w:rFonts w:ascii="Times New Roman" w:eastAsia="Times New Roman" w:hAnsi="Times New Roman" w:cs="Times New Roman"/>
            <w:color w:val="0000FF"/>
            <w:sz w:val="20"/>
            <w:szCs w:val="20"/>
            <w:u w:val="single"/>
          </w:rPr>
          <w:t>1600</w:t>
        </w:r>
      </w:hyperlink>
      <w:r w:rsidRPr="000D1E27">
        <w:rPr>
          <w:rFonts w:ascii="Times New Roman" w:eastAsia="Times New Roman" w:hAnsi="Times New Roman" w:cs="Times New Roman"/>
          <w:color w:val="000000"/>
          <w:sz w:val="20"/>
          <w:szCs w:val="20"/>
        </w:rPr>
        <w:t>), Sec. 2.79, eff. September 1, 2013.</w:t>
      </w:r>
    </w:p>
    <w:p w14:paraId="75F1AA5B"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171 (S.B. </w:t>
      </w:r>
      <w:hyperlink r:id="rId7" w:tgtFrame="new" w:history="1">
        <w:r w:rsidRPr="000D1E27">
          <w:rPr>
            <w:rFonts w:ascii="Times New Roman" w:eastAsia="Times New Roman" w:hAnsi="Times New Roman" w:cs="Times New Roman"/>
            <w:color w:val="0000FF"/>
            <w:sz w:val="20"/>
            <w:szCs w:val="20"/>
            <w:u w:val="single"/>
          </w:rPr>
          <w:t>567</w:t>
        </w:r>
      </w:hyperlink>
      <w:r w:rsidRPr="000D1E27">
        <w:rPr>
          <w:rFonts w:ascii="Times New Roman" w:eastAsia="Times New Roman" w:hAnsi="Times New Roman" w:cs="Times New Roman"/>
          <w:color w:val="000000"/>
          <w:sz w:val="20"/>
          <w:szCs w:val="20"/>
        </w:rPr>
        <w:t>), Sec. 79, eff. September 1, 2013.</w:t>
      </w:r>
    </w:p>
    <w:p w14:paraId="532151A1"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2017, 85th Leg., R.S., Ch. 389 (S.B. </w:t>
      </w:r>
      <w:hyperlink r:id="rId8" w:tgtFrame="new" w:history="1">
        <w:r w:rsidRPr="000D1E27">
          <w:rPr>
            <w:rFonts w:ascii="Times New Roman" w:eastAsia="Times New Roman" w:hAnsi="Times New Roman" w:cs="Times New Roman"/>
            <w:color w:val="0000FF"/>
            <w:sz w:val="20"/>
            <w:szCs w:val="20"/>
            <w:u w:val="single"/>
          </w:rPr>
          <w:t>873</w:t>
        </w:r>
      </w:hyperlink>
      <w:r w:rsidRPr="000D1E27">
        <w:rPr>
          <w:rFonts w:ascii="Times New Roman" w:eastAsia="Times New Roman" w:hAnsi="Times New Roman" w:cs="Times New Roman"/>
          <w:color w:val="000000"/>
          <w:sz w:val="20"/>
          <w:szCs w:val="20"/>
        </w:rPr>
        <w:t>), Sec. 1, eff. June 1, 2017.</w:t>
      </w:r>
    </w:p>
    <w:p w14:paraId="40456EF8"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42BF05FF"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3555E2A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bookmarkStart w:id="2" w:name="13.502"/>
      <w:bookmarkStart w:id="3" w:name="74779.64333"/>
      <w:bookmarkEnd w:id="2"/>
      <w:bookmarkEnd w:id="3"/>
      <w:r w:rsidRPr="000D1E27">
        <w:rPr>
          <w:rFonts w:ascii="Times New Roman" w:eastAsia="Times New Roman" w:hAnsi="Times New Roman" w:cs="Times New Roman"/>
          <w:color w:val="000000"/>
          <w:sz w:val="20"/>
          <w:szCs w:val="20"/>
        </w:rPr>
        <w:t>Sec. 13.502.  SUBMETERING.  (a)  An apartment house owner, manufactured home rental community owner, multiple use facility owner, or condominium manager may provide for submetering of each dwelling unit or rental unit for the measurement of the quantity of water, if any, consumed by the occupants of that unit.</w:t>
      </w:r>
    </w:p>
    <w:p w14:paraId="3AE5D4EC"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(b)  Except as provided by Subsections (c) and (d), a manager of a condominium or the owner of an apartment house, manufactured home rental community, or multiple use facility, on which construction begins after January 1, 2003, shall provide for the measurement of the quantity of water, if any, consumed by the occupants of each unit through the installation of:</w:t>
      </w:r>
    </w:p>
    <w:p w14:paraId="1E2645EA"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(1)  submeters, owned by the property owner or manager, for each dwelling unit or rental </w:t>
      </w:r>
      <w:proofErr w:type="gramStart"/>
      <w:r w:rsidRPr="000D1E27">
        <w:rPr>
          <w:rFonts w:ascii="Times New Roman" w:eastAsia="Times New Roman" w:hAnsi="Times New Roman" w:cs="Times New Roman"/>
          <w:color w:val="000000"/>
          <w:sz w:val="20"/>
          <w:szCs w:val="20"/>
        </w:rPr>
        <w:t>unit;  or</w:t>
      </w:r>
      <w:proofErr w:type="gramEnd"/>
    </w:p>
    <w:p w14:paraId="3D54F63A"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(2)  individual meters, owned by the retail public utility, for each dwelling unit or rental unit.</w:t>
      </w:r>
    </w:p>
    <w:p w14:paraId="7F76EF33"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(c)  An owner of an apartment house on which construction begins after January 1, 2003, and which provides government assisted or subsidized rental housing to low or very </w:t>
      </w:r>
      <w:proofErr w:type="gramStart"/>
      <w:r w:rsidRPr="000D1E27">
        <w:rPr>
          <w:rFonts w:ascii="Times New Roman" w:eastAsia="Times New Roman" w:hAnsi="Times New Roman" w:cs="Times New Roman"/>
          <w:color w:val="000000"/>
          <w:sz w:val="20"/>
          <w:szCs w:val="20"/>
        </w:rPr>
        <w:t>low income</w:t>
      </w:r>
      <w:proofErr w:type="gramEnd"/>
      <w:r w:rsidRPr="000D1E27">
        <w:rPr>
          <w:rFonts w:ascii="Times New Roman" w:eastAsia="Times New Roman" w:hAnsi="Times New Roman" w:cs="Times New Roman"/>
          <w:color w:val="000000"/>
          <w:sz w:val="20"/>
          <w:szCs w:val="20"/>
        </w:rPr>
        <w:t xml:space="preserve"> residents shall install a plumbing system in the apartment house that is compatible with the installation of submeters for the measurement of the quantity of water, if any, consumed by the occupants of each unit.</w:t>
      </w:r>
    </w:p>
    <w:p w14:paraId="10C37975"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(d)  On request by the property owner or manager, a retail public utility shall install individual meters owned by the utility in an apartment house, manufactured home rental community, multiple use facility, or condominium on which construction begins after January 1, 2003, unless the retail public utility determines that installation of meters is not feasible.  If the retail public utility determines that installation of meters is not feasible, the property owner or manager shall install a plumbing system that is compatible with the installation of submeters or individual meters.  A retail public utility may charge reasonable costs to install individual meters.</w:t>
      </w:r>
    </w:p>
    <w:p w14:paraId="36172FC8"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(e)  An owner of an apartment house, manufactured home rental community, or multiple use facility or a manager of a condominium may not change from </w:t>
      </w:r>
      <w:proofErr w:type="spellStart"/>
      <w:r w:rsidRPr="000D1E27">
        <w:rPr>
          <w:rFonts w:ascii="Times New Roman" w:eastAsia="Times New Roman" w:hAnsi="Times New Roman" w:cs="Times New Roman"/>
          <w:color w:val="000000"/>
          <w:sz w:val="20"/>
          <w:szCs w:val="20"/>
        </w:rPr>
        <w:t>submetered</w:t>
      </w:r>
      <w:proofErr w:type="spellEnd"/>
      <w:r w:rsidRPr="000D1E27">
        <w:rPr>
          <w:rFonts w:ascii="Times New Roman" w:eastAsia="Times New Roman" w:hAnsi="Times New Roman" w:cs="Times New Roman"/>
          <w:color w:val="000000"/>
          <w:sz w:val="20"/>
          <w:szCs w:val="20"/>
        </w:rPr>
        <w:t xml:space="preserve"> billing to allocated billing unless:</w:t>
      </w:r>
    </w:p>
    <w:p w14:paraId="3290E0E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(1)  the utility commission approves of the change in writing after a demonstration of good cause, including meter reading or billing problems that could not feasibly be corrected or equipment failures; and</w:t>
      </w:r>
    </w:p>
    <w:p w14:paraId="7B11B2B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(2)  the property owner meets rental agreement requirements established by the utility commission.</w:t>
      </w:r>
    </w:p>
    <w:p w14:paraId="71014541"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58CAD2B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Acts 1989, 71st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567, Sec. 43, eff. Sept. 1, </w:t>
      </w:r>
      <w:proofErr w:type="gramStart"/>
      <w:r w:rsidRPr="000D1E27">
        <w:rPr>
          <w:rFonts w:ascii="Times New Roman" w:eastAsia="Times New Roman" w:hAnsi="Times New Roman" w:cs="Times New Roman"/>
          <w:color w:val="000000"/>
          <w:sz w:val="20"/>
          <w:szCs w:val="20"/>
        </w:rPr>
        <w:t>1989;  Acts</w:t>
      </w:r>
      <w:proofErr w:type="gramEnd"/>
      <w:r w:rsidRPr="000D1E27">
        <w:rPr>
          <w:rFonts w:ascii="Times New Roman" w:eastAsia="Times New Roman" w:hAnsi="Times New Roman" w:cs="Times New Roman"/>
          <w:color w:val="000000"/>
          <w:sz w:val="20"/>
          <w:szCs w:val="20"/>
        </w:rPr>
        <w:t xml:space="preserve"> 1999, 76th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86, Sec. 1, eff. Aug. 30, 1999;  Acts 2001, 77th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873, Sec. 1, eff. Sept. 1, 2001.</w:t>
      </w:r>
    </w:p>
    <w:p w14:paraId="780272F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lastRenderedPageBreak/>
        <w:t xml:space="preserve">Amended by: </w:t>
      </w:r>
    </w:p>
    <w:p w14:paraId="11009E29"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170 (H.B. </w:t>
      </w:r>
      <w:hyperlink r:id="rId9" w:tgtFrame="new" w:history="1">
        <w:r w:rsidRPr="000D1E27">
          <w:rPr>
            <w:rFonts w:ascii="Times New Roman" w:eastAsia="Times New Roman" w:hAnsi="Times New Roman" w:cs="Times New Roman"/>
            <w:color w:val="0000FF"/>
            <w:sz w:val="20"/>
            <w:szCs w:val="20"/>
            <w:u w:val="single"/>
          </w:rPr>
          <w:t>1600</w:t>
        </w:r>
      </w:hyperlink>
      <w:r w:rsidRPr="000D1E27">
        <w:rPr>
          <w:rFonts w:ascii="Times New Roman" w:eastAsia="Times New Roman" w:hAnsi="Times New Roman" w:cs="Times New Roman"/>
          <w:color w:val="000000"/>
          <w:sz w:val="20"/>
          <w:szCs w:val="20"/>
        </w:rPr>
        <w:t>), Sec. 2.80, eff. September 1, 2013.</w:t>
      </w:r>
    </w:p>
    <w:p w14:paraId="5FC04244"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171 (S.B. </w:t>
      </w:r>
      <w:hyperlink r:id="rId10" w:tgtFrame="new" w:history="1">
        <w:r w:rsidRPr="000D1E27">
          <w:rPr>
            <w:rFonts w:ascii="Times New Roman" w:eastAsia="Times New Roman" w:hAnsi="Times New Roman" w:cs="Times New Roman"/>
            <w:color w:val="0000FF"/>
            <w:sz w:val="20"/>
            <w:szCs w:val="20"/>
            <w:u w:val="single"/>
          </w:rPr>
          <w:t>567</w:t>
        </w:r>
      </w:hyperlink>
      <w:r w:rsidRPr="000D1E27">
        <w:rPr>
          <w:rFonts w:ascii="Times New Roman" w:eastAsia="Times New Roman" w:hAnsi="Times New Roman" w:cs="Times New Roman"/>
          <w:color w:val="000000"/>
          <w:sz w:val="20"/>
          <w:szCs w:val="20"/>
        </w:rPr>
        <w:t>), Sec. 80, eff. September 1, 2013.</w:t>
      </w:r>
    </w:p>
    <w:p w14:paraId="6DBB0D75"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3C002AC7"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6D75F61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bookmarkStart w:id="4" w:name="13.503"/>
      <w:bookmarkStart w:id="5" w:name="74780.64334"/>
      <w:bookmarkEnd w:id="4"/>
      <w:bookmarkEnd w:id="5"/>
      <w:r w:rsidRPr="000D1E27">
        <w:rPr>
          <w:rFonts w:ascii="Times New Roman" w:eastAsia="Times New Roman" w:hAnsi="Times New Roman" w:cs="Times New Roman"/>
          <w:color w:val="000000"/>
          <w:sz w:val="20"/>
          <w:szCs w:val="20"/>
        </w:rPr>
        <w:t>Sec. 13.503.  SUBMETERING RULES.  (a)  The utility commission shall encourage submetering of individual rental or dwelling units by master meter operators or building owners to enhance the conservation of water resources.</w:t>
      </w:r>
    </w:p>
    <w:p w14:paraId="616E1250"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(b)  Notwithstanding any other law, the utility commission shall adopt rules and standards under which an owner, operator, or manager of an apartment house, manufactured home rental community, or multiple use facility that is not individually metered for water for each rental or dwelling unit may install submetering equipment for each individual rental or dwelling unit for the purpose of fairly allocating the cost of each individual rental or dwelling unit's water consumption, including wastewater charges based on water consumption.  In addition to other appropriate safeguards for the tenant, the rules shall require that, except as provided by this section, an apartment house owner, manufactured home rental community owner, multiple use facility owner, or condominium manager may not impose on the tenant any extra charges, over and above the cost per gallon and any other applicable taxes and surcharges that are charged by the retail public utility to the owner or manager, and that the rental unit or apartment house owner or manager shall maintain adequate records regarding submetering and make the records available for inspection by the tenant during reasonable business hours.  The rules shall allow an owner or manager to charge a tenant a fee for late payment of a </w:t>
      </w:r>
      <w:proofErr w:type="spellStart"/>
      <w:r w:rsidRPr="000D1E27">
        <w:rPr>
          <w:rFonts w:ascii="Times New Roman" w:eastAsia="Times New Roman" w:hAnsi="Times New Roman" w:cs="Times New Roman"/>
          <w:color w:val="000000"/>
          <w:sz w:val="20"/>
          <w:szCs w:val="20"/>
        </w:rPr>
        <w:t>submetered</w:t>
      </w:r>
      <w:proofErr w:type="spellEnd"/>
      <w:r w:rsidRPr="000D1E27">
        <w:rPr>
          <w:rFonts w:ascii="Times New Roman" w:eastAsia="Times New Roman" w:hAnsi="Times New Roman" w:cs="Times New Roman"/>
          <w:color w:val="000000"/>
          <w:sz w:val="20"/>
          <w:szCs w:val="20"/>
        </w:rPr>
        <w:t xml:space="preserve"> water bill if the amount of the fee does not exceed five percent of the bill paid late.  All submetering equipment is subject to the rules and standards established by the utility commission for accuracy, testing, and record keeping of meters installed by utilities and to the meter-testing requirements of Section </w:t>
      </w:r>
      <w:hyperlink r:id="rId11" w:tgtFrame="new" w:history="1">
        <w:r w:rsidRPr="000D1E27">
          <w:rPr>
            <w:rFonts w:ascii="Times New Roman" w:eastAsia="Times New Roman" w:hAnsi="Times New Roman" w:cs="Times New Roman"/>
            <w:color w:val="0000FF"/>
            <w:sz w:val="20"/>
            <w:szCs w:val="20"/>
            <w:u w:val="single"/>
          </w:rPr>
          <w:t>13.140</w:t>
        </w:r>
      </w:hyperlink>
      <w:r w:rsidRPr="000D1E27">
        <w:rPr>
          <w:rFonts w:ascii="Times New Roman" w:eastAsia="Times New Roman" w:hAnsi="Times New Roman" w:cs="Times New Roman"/>
          <w:color w:val="000000"/>
          <w:sz w:val="20"/>
          <w:szCs w:val="20"/>
        </w:rPr>
        <w:t>.</w:t>
      </w:r>
    </w:p>
    <w:p w14:paraId="56C177FA"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(c)  Except as provided by Subsection (c-1), in addition to the charges permitted under Subsection (b), the rules shall authorize the owner or manager of a manufactured home rental community or apartment house to impose a service charge of not more than nine percent of the costs related to submetering allocated to each </w:t>
      </w:r>
      <w:proofErr w:type="spellStart"/>
      <w:r w:rsidRPr="000D1E27">
        <w:rPr>
          <w:rFonts w:ascii="Times New Roman" w:eastAsia="Times New Roman" w:hAnsi="Times New Roman" w:cs="Times New Roman"/>
          <w:color w:val="000000"/>
          <w:sz w:val="20"/>
          <w:szCs w:val="20"/>
        </w:rPr>
        <w:t>submetered</w:t>
      </w:r>
      <w:proofErr w:type="spellEnd"/>
      <w:r w:rsidRPr="000D1E27">
        <w:rPr>
          <w:rFonts w:ascii="Times New Roman" w:eastAsia="Times New Roman" w:hAnsi="Times New Roman" w:cs="Times New Roman"/>
          <w:color w:val="000000"/>
          <w:sz w:val="20"/>
          <w:szCs w:val="20"/>
        </w:rPr>
        <w:t xml:space="preserve"> rental or dwelling unit.</w:t>
      </w:r>
    </w:p>
    <w:p w14:paraId="5724A7C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(c-1</w:t>
      </w:r>
      <w:proofErr w:type="gramStart"/>
      <w:r w:rsidRPr="000D1E27">
        <w:rPr>
          <w:rFonts w:ascii="Times New Roman" w:eastAsia="Times New Roman" w:hAnsi="Times New Roman" w:cs="Times New Roman"/>
          <w:color w:val="000000"/>
          <w:sz w:val="20"/>
          <w:szCs w:val="20"/>
        </w:rPr>
        <w:t>)  The</w:t>
      </w:r>
      <w:proofErr w:type="gramEnd"/>
      <w:r w:rsidRPr="000D1E27">
        <w:rPr>
          <w:rFonts w:ascii="Times New Roman" w:eastAsia="Times New Roman" w:hAnsi="Times New Roman" w:cs="Times New Roman"/>
          <w:color w:val="000000"/>
          <w:sz w:val="20"/>
          <w:szCs w:val="20"/>
        </w:rPr>
        <w:t xml:space="preserve"> rules may not authorize the owner or manager of an apartment house to impose a service charge under Subsection (c) on a resident who:</w:t>
      </w:r>
    </w:p>
    <w:p w14:paraId="3444939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(1)  resides in a unit of an apartment house that has received an allocation of low income housing tax credits under Subchapter </w:t>
      </w:r>
      <w:hyperlink r:id="rId12" w:tgtFrame="new" w:history="1">
        <w:r w:rsidRPr="000D1E27">
          <w:rPr>
            <w:rFonts w:ascii="Times New Roman" w:eastAsia="Times New Roman" w:hAnsi="Times New Roman" w:cs="Times New Roman"/>
            <w:color w:val="0000FF"/>
            <w:sz w:val="20"/>
            <w:szCs w:val="20"/>
            <w:u w:val="single"/>
          </w:rPr>
          <w:t>DD</w:t>
        </w:r>
      </w:hyperlink>
      <w:r w:rsidRPr="000D1E27">
        <w:rPr>
          <w:rFonts w:ascii="Times New Roman" w:eastAsia="Times New Roman" w:hAnsi="Times New Roman" w:cs="Times New Roman"/>
          <w:color w:val="000000"/>
          <w:sz w:val="20"/>
          <w:szCs w:val="20"/>
        </w:rPr>
        <w:t xml:space="preserve">, Chapter </w:t>
      </w:r>
      <w:hyperlink r:id="rId13" w:tgtFrame="new" w:history="1">
        <w:r w:rsidRPr="000D1E27">
          <w:rPr>
            <w:rFonts w:ascii="Times New Roman" w:eastAsia="Times New Roman" w:hAnsi="Times New Roman" w:cs="Times New Roman"/>
            <w:color w:val="0000FF"/>
            <w:sz w:val="20"/>
            <w:szCs w:val="20"/>
            <w:u w:val="single"/>
          </w:rPr>
          <w:t>2306</w:t>
        </w:r>
      </w:hyperlink>
      <w:r w:rsidRPr="000D1E27">
        <w:rPr>
          <w:rFonts w:ascii="Times New Roman" w:eastAsia="Times New Roman" w:hAnsi="Times New Roman" w:cs="Times New Roman"/>
          <w:color w:val="000000"/>
          <w:sz w:val="20"/>
          <w:szCs w:val="20"/>
        </w:rPr>
        <w:t>, Government Code; or</w:t>
      </w:r>
    </w:p>
    <w:p w14:paraId="45DE1690"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(2)  receives tenant-based voucher assistance under Section 8, United States Housing Act of 1937 (42 U.S.C. Section 1437f).</w:t>
      </w:r>
    </w:p>
    <w:p w14:paraId="741479EF"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(d)  For purposes of Subsection (c), "costs related to submetering" means water costs as well as any other applicable taxes and surcharges that are charged by the retail public utility to the owner or manager of a manufactured home rental community or apartment house.</w:t>
      </w:r>
    </w:p>
    <w:p w14:paraId="5096CE0B"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lastRenderedPageBreak/>
        <w:t xml:space="preserve">(e)  The utility commission may authorize a building owner to use submetering equipment that relies on integrated </w:t>
      </w:r>
      <w:proofErr w:type="gramStart"/>
      <w:r w:rsidRPr="000D1E27">
        <w:rPr>
          <w:rFonts w:ascii="Times New Roman" w:eastAsia="Times New Roman" w:hAnsi="Times New Roman" w:cs="Times New Roman"/>
          <w:color w:val="000000"/>
          <w:sz w:val="20"/>
          <w:szCs w:val="20"/>
        </w:rPr>
        <w:t>radio based</w:t>
      </w:r>
      <w:proofErr w:type="gramEnd"/>
      <w:r w:rsidRPr="000D1E27">
        <w:rPr>
          <w:rFonts w:ascii="Times New Roman" w:eastAsia="Times New Roman" w:hAnsi="Times New Roman" w:cs="Times New Roman"/>
          <w:color w:val="000000"/>
          <w:sz w:val="20"/>
          <w:szCs w:val="20"/>
        </w:rPr>
        <w:t xml:space="preserve"> meter reading systems and remote registration in a building plumbing system using submeters that comply with nationally recognized plumbing standards and are as accurate as utility water meters in single application conditions.</w:t>
      </w:r>
    </w:p>
    <w:p w14:paraId="446B5E87"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(f)  This section does not limit the authority of an owner, operator, or manager of an apartment house, manufactured home rental community, or multiple use facility to charge, bill for, or collect rent, an assessment, an administrative fee, a fee relating to the upkeep or management of chilled water, boiler, heating, ventilation, air conditioning, or other building system, or any other amount that is unrelated to utility costs.</w:t>
      </w:r>
    </w:p>
    <w:p w14:paraId="66163569"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7D0BEB3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Acts 1989, 71st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567, Sec. 43, eff. Sept. 1, </w:t>
      </w:r>
      <w:proofErr w:type="gramStart"/>
      <w:r w:rsidRPr="000D1E27">
        <w:rPr>
          <w:rFonts w:ascii="Times New Roman" w:eastAsia="Times New Roman" w:hAnsi="Times New Roman" w:cs="Times New Roman"/>
          <w:color w:val="000000"/>
          <w:sz w:val="20"/>
          <w:szCs w:val="20"/>
        </w:rPr>
        <w:t>1989;  Acts</w:t>
      </w:r>
      <w:proofErr w:type="gramEnd"/>
      <w:r w:rsidRPr="000D1E27">
        <w:rPr>
          <w:rFonts w:ascii="Times New Roman" w:eastAsia="Times New Roman" w:hAnsi="Times New Roman" w:cs="Times New Roman"/>
          <w:color w:val="000000"/>
          <w:sz w:val="20"/>
          <w:szCs w:val="20"/>
        </w:rPr>
        <w:t xml:space="preserve"> 1999, 76th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86, Sec. 1, eff. Aug. 30, 1999;  Acts 2003, 78th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673, Sec. 1, eff. Sept. 1, 2003.</w:t>
      </w:r>
    </w:p>
    <w:p w14:paraId="4D4B704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w:t>
      </w:r>
    </w:p>
    <w:p w14:paraId="6220133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2009, 81st Leg., R.S., Ch. 151 (S.B. </w:t>
      </w:r>
      <w:hyperlink r:id="rId14" w:tgtFrame="new" w:history="1">
        <w:r w:rsidRPr="000D1E27">
          <w:rPr>
            <w:rFonts w:ascii="Times New Roman" w:eastAsia="Times New Roman" w:hAnsi="Times New Roman" w:cs="Times New Roman"/>
            <w:color w:val="0000FF"/>
            <w:sz w:val="20"/>
            <w:szCs w:val="20"/>
            <w:u w:val="single"/>
          </w:rPr>
          <w:t>2126</w:t>
        </w:r>
      </w:hyperlink>
      <w:r w:rsidRPr="000D1E27">
        <w:rPr>
          <w:rFonts w:ascii="Times New Roman" w:eastAsia="Times New Roman" w:hAnsi="Times New Roman" w:cs="Times New Roman"/>
          <w:color w:val="000000"/>
          <w:sz w:val="20"/>
          <w:szCs w:val="20"/>
        </w:rPr>
        <w:t>), Sec. 1, eff. September 1, 2009.</w:t>
      </w:r>
    </w:p>
    <w:p w14:paraId="038DE54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170 (H.B. </w:t>
      </w:r>
      <w:hyperlink r:id="rId15" w:tgtFrame="new" w:history="1">
        <w:r w:rsidRPr="000D1E27">
          <w:rPr>
            <w:rFonts w:ascii="Times New Roman" w:eastAsia="Times New Roman" w:hAnsi="Times New Roman" w:cs="Times New Roman"/>
            <w:color w:val="0000FF"/>
            <w:sz w:val="20"/>
            <w:szCs w:val="20"/>
            <w:u w:val="single"/>
          </w:rPr>
          <w:t>1600</w:t>
        </w:r>
      </w:hyperlink>
      <w:r w:rsidRPr="000D1E27">
        <w:rPr>
          <w:rFonts w:ascii="Times New Roman" w:eastAsia="Times New Roman" w:hAnsi="Times New Roman" w:cs="Times New Roman"/>
          <w:color w:val="000000"/>
          <w:sz w:val="20"/>
          <w:szCs w:val="20"/>
        </w:rPr>
        <w:t>), Sec. 2.81, eff. September 1, 2013.</w:t>
      </w:r>
    </w:p>
    <w:p w14:paraId="75A15C0F"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171 (S.B. </w:t>
      </w:r>
      <w:hyperlink r:id="rId16" w:tgtFrame="new" w:history="1">
        <w:r w:rsidRPr="000D1E27">
          <w:rPr>
            <w:rFonts w:ascii="Times New Roman" w:eastAsia="Times New Roman" w:hAnsi="Times New Roman" w:cs="Times New Roman"/>
            <w:color w:val="0000FF"/>
            <w:sz w:val="20"/>
            <w:szCs w:val="20"/>
            <w:u w:val="single"/>
          </w:rPr>
          <w:t>567</w:t>
        </w:r>
      </w:hyperlink>
      <w:r w:rsidRPr="000D1E27">
        <w:rPr>
          <w:rFonts w:ascii="Times New Roman" w:eastAsia="Times New Roman" w:hAnsi="Times New Roman" w:cs="Times New Roman"/>
          <w:color w:val="000000"/>
          <w:sz w:val="20"/>
          <w:szCs w:val="20"/>
        </w:rPr>
        <w:t>), Sec. 81, eff. September 1, 2013.</w:t>
      </w:r>
    </w:p>
    <w:p w14:paraId="4A559D0A"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2017, 85th Leg., R.S., Ch. 389 (S.B. </w:t>
      </w:r>
      <w:hyperlink r:id="rId17" w:tgtFrame="new" w:history="1">
        <w:r w:rsidRPr="000D1E27">
          <w:rPr>
            <w:rFonts w:ascii="Times New Roman" w:eastAsia="Times New Roman" w:hAnsi="Times New Roman" w:cs="Times New Roman"/>
            <w:color w:val="0000FF"/>
            <w:sz w:val="20"/>
            <w:szCs w:val="20"/>
            <w:u w:val="single"/>
          </w:rPr>
          <w:t>873</w:t>
        </w:r>
      </w:hyperlink>
      <w:r w:rsidRPr="000D1E27">
        <w:rPr>
          <w:rFonts w:ascii="Times New Roman" w:eastAsia="Times New Roman" w:hAnsi="Times New Roman" w:cs="Times New Roman"/>
          <w:color w:val="000000"/>
          <w:sz w:val="20"/>
          <w:szCs w:val="20"/>
        </w:rPr>
        <w:t>), Sec. 2, eff. June 1, 2017.</w:t>
      </w:r>
    </w:p>
    <w:p w14:paraId="5176708F"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47C8F551"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0377F654"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bookmarkStart w:id="6" w:name="13.5031"/>
      <w:bookmarkStart w:id="7" w:name="74781.160731"/>
      <w:bookmarkEnd w:id="6"/>
      <w:bookmarkEnd w:id="7"/>
      <w:r w:rsidRPr="000D1E27">
        <w:rPr>
          <w:rFonts w:ascii="Times New Roman" w:eastAsia="Times New Roman" w:hAnsi="Times New Roman" w:cs="Times New Roman"/>
          <w:color w:val="000000"/>
          <w:sz w:val="20"/>
          <w:szCs w:val="20"/>
        </w:rPr>
        <w:t xml:space="preserve">Sec. 13.5031.  NONSUBMETERING RULES.  (a)  Notwithstanding any other law, the utility commission shall adopt rules and standards governing billing systems or methods used by manufactured home rental community owners, apartment house owners, condominium managers, or owners of other multiple use facilities for prorating or allocating among tenants </w:t>
      </w:r>
      <w:proofErr w:type="spellStart"/>
      <w:r w:rsidRPr="000D1E27">
        <w:rPr>
          <w:rFonts w:ascii="Times New Roman" w:eastAsia="Times New Roman" w:hAnsi="Times New Roman" w:cs="Times New Roman"/>
          <w:color w:val="000000"/>
          <w:sz w:val="20"/>
          <w:szCs w:val="20"/>
        </w:rPr>
        <w:t>nonsubmetered</w:t>
      </w:r>
      <w:proofErr w:type="spellEnd"/>
      <w:r w:rsidRPr="000D1E27">
        <w:rPr>
          <w:rFonts w:ascii="Times New Roman" w:eastAsia="Times New Roman" w:hAnsi="Times New Roman" w:cs="Times New Roman"/>
          <w:color w:val="000000"/>
          <w:sz w:val="20"/>
          <w:szCs w:val="20"/>
        </w:rPr>
        <w:t xml:space="preserve"> master metered utility service costs.  In addition to other appropriate safeguards for the tenant, those rules shall require that:</w:t>
      </w:r>
    </w:p>
    <w:p w14:paraId="2C31961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(1)  the rental agreement </w:t>
      </w:r>
      <w:proofErr w:type="gramStart"/>
      <w:r w:rsidRPr="000D1E27">
        <w:rPr>
          <w:rFonts w:ascii="Times New Roman" w:eastAsia="Times New Roman" w:hAnsi="Times New Roman" w:cs="Times New Roman"/>
          <w:color w:val="000000"/>
          <w:sz w:val="20"/>
          <w:szCs w:val="20"/>
        </w:rPr>
        <w:t>contain</w:t>
      </w:r>
      <w:proofErr w:type="gramEnd"/>
      <w:r w:rsidRPr="000D1E27">
        <w:rPr>
          <w:rFonts w:ascii="Times New Roman" w:eastAsia="Times New Roman" w:hAnsi="Times New Roman" w:cs="Times New Roman"/>
          <w:color w:val="000000"/>
          <w:sz w:val="20"/>
          <w:szCs w:val="20"/>
        </w:rPr>
        <w:t xml:space="preserve"> a clear written description of the method of calculation of the allocation of </w:t>
      </w:r>
      <w:proofErr w:type="spellStart"/>
      <w:r w:rsidRPr="000D1E27">
        <w:rPr>
          <w:rFonts w:ascii="Times New Roman" w:eastAsia="Times New Roman" w:hAnsi="Times New Roman" w:cs="Times New Roman"/>
          <w:color w:val="000000"/>
          <w:sz w:val="20"/>
          <w:szCs w:val="20"/>
        </w:rPr>
        <w:t>nonsubmetered</w:t>
      </w:r>
      <w:proofErr w:type="spellEnd"/>
      <w:r w:rsidRPr="000D1E27">
        <w:rPr>
          <w:rFonts w:ascii="Times New Roman" w:eastAsia="Times New Roman" w:hAnsi="Times New Roman" w:cs="Times New Roman"/>
          <w:color w:val="000000"/>
          <w:sz w:val="20"/>
          <w:szCs w:val="20"/>
        </w:rPr>
        <w:t xml:space="preserve"> master metered utilities for the manufactured home rental community, apartment house, or multiple use facility;</w:t>
      </w:r>
    </w:p>
    <w:p w14:paraId="05578BDC"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(2)  the rental agreement </w:t>
      </w:r>
      <w:proofErr w:type="gramStart"/>
      <w:r w:rsidRPr="000D1E27">
        <w:rPr>
          <w:rFonts w:ascii="Times New Roman" w:eastAsia="Times New Roman" w:hAnsi="Times New Roman" w:cs="Times New Roman"/>
          <w:color w:val="000000"/>
          <w:sz w:val="20"/>
          <w:szCs w:val="20"/>
        </w:rPr>
        <w:t>contain</w:t>
      </w:r>
      <w:proofErr w:type="gramEnd"/>
      <w:r w:rsidRPr="000D1E27">
        <w:rPr>
          <w:rFonts w:ascii="Times New Roman" w:eastAsia="Times New Roman" w:hAnsi="Times New Roman" w:cs="Times New Roman"/>
          <w:color w:val="000000"/>
          <w:sz w:val="20"/>
          <w:szCs w:val="20"/>
        </w:rPr>
        <w:t xml:space="preserve"> a statement of the average manufactured home, apartment, or multiple use facility unit monthly bill for all units for any allocation of those utilities for the previous calendar year;</w:t>
      </w:r>
    </w:p>
    <w:p w14:paraId="0A9D1D70"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(3)  except as provided by this section, an owner or condominium manager may not impose additional charges on a tenant in excess of the actual charges imposed on the owner or condominium manager for utility consumption by the manufactured home rental community, apartment house, or multiple use facility;</w:t>
      </w:r>
    </w:p>
    <w:p w14:paraId="487F131A"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(4)  the owner or condominium manager shall maintain adequate records regarding the utility consumption of the manufactured home rental community, apartment house, or multiple use facility, the charges assessed by the retail public utility, and the allocation of the utility costs to the tenants;</w:t>
      </w:r>
    </w:p>
    <w:p w14:paraId="4E0C95E0"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(5)  the owner or condominium manager shall maintain all necessary records concerning utility allocations, including the retail public utility's bills, and shall make the records available for inspection by the tenants during normal business hours; and</w:t>
      </w:r>
    </w:p>
    <w:p w14:paraId="53DE8C83"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lastRenderedPageBreak/>
        <w:t>(6)  the owner or condominium manager may charge a tenant a fee for late payment of an allocated water bill if the amount of the fee does not exceed five percent of the bill paid late.</w:t>
      </w:r>
    </w:p>
    <w:p w14:paraId="1BC16B23"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(b)  This section does not limit the authority of an owner, operator, or manager of an apartment house, manufactured home rental community, or multiple use facility to charge, bill for, or collect rent, an assessment, an administrative fee, a fee relating to the upkeep or management of chilled water, boiler, heating, ventilation, air conditioning, or other building system, or any other amount that is unrelated to utility costs.</w:t>
      </w:r>
    </w:p>
    <w:p w14:paraId="6637E69E"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0997317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Added by Acts 1989, 71st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567, Sec. 43, eff. Sept. 1, 1989.  Amended by Acts 1999, 76th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86, Sec. 1, eff. Aug. 30, </w:t>
      </w:r>
      <w:proofErr w:type="gramStart"/>
      <w:r w:rsidRPr="000D1E27">
        <w:rPr>
          <w:rFonts w:ascii="Times New Roman" w:eastAsia="Times New Roman" w:hAnsi="Times New Roman" w:cs="Times New Roman"/>
          <w:color w:val="000000"/>
          <w:sz w:val="20"/>
          <w:szCs w:val="20"/>
        </w:rPr>
        <w:t>1999;  Acts</w:t>
      </w:r>
      <w:proofErr w:type="gramEnd"/>
      <w:r w:rsidRPr="000D1E27">
        <w:rPr>
          <w:rFonts w:ascii="Times New Roman" w:eastAsia="Times New Roman" w:hAnsi="Times New Roman" w:cs="Times New Roman"/>
          <w:color w:val="000000"/>
          <w:sz w:val="20"/>
          <w:szCs w:val="20"/>
        </w:rPr>
        <w:t xml:space="preserve"> 2003, 78th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673, Sec. 2, eff. Sept. 1, 2003.</w:t>
      </w:r>
    </w:p>
    <w:p w14:paraId="08524614"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w:t>
      </w:r>
    </w:p>
    <w:p w14:paraId="5757338C"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170 (H.B. </w:t>
      </w:r>
      <w:hyperlink r:id="rId18" w:tgtFrame="new" w:history="1">
        <w:r w:rsidRPr="000D1E27">
          <w:rPr>
            <w:rFonts w:ascii="Times New Roman" w:eastAsia="Times New Roman" w:hAnsi="Times New Roman" w:cs="Times New Roman"/>
            <w:color w:val="0000FF"/>
            <w:sz w:val="20"/>
            <w:szCs w:val="20"/>
            <w:u w:val="single"/>
          </w:rPr>
          <w:t>1600</w:t>
        </w:r>
      </w:hyperlink>
      <w:r w:rsidRPr="000D1E27">
        <w:rPr>
          <w:rFonts w:ascii="Times New Roman" w:eastAsia="Times New Roman" w:hAnsi="Times New Roman" w:cs="Times New Roman"/>
          <w:color w:val="000000"/>
          <w:sz w:val="20"/>
          <w:szCs w:val="20"/>
        </w:rPr>
        <w:t>), Sec. 2.82, eff. September 1, 2013.</w:t>
      </w:r>
    </w:p>
    <w:p w14:paraId="47616A3C"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171 (S.B. </w:t>
      </w:r>
      <w:hyperlink r:id="rId19" w:tgtFrame="new" w:history="1">
        <w:r w:rsidRPr="000D1E27">
          <w:rPr>
            <w:rFonts w:ascii="Times New Roman" w:eastAsia="Times New Roman" w:hAnsi="Times New Roman" w:cs="Times New Roman"/>
            <w:color w:val="0000FF"/>
            <w:sz w:val="20"/>
            <w:szCs w:val="20"/>
            <w:u w:val="single"/>
          </w:rPr>
          <w:t>567</w:t>
        </w:r>
      </w:hyperlink>
      <w:r w:rsidRPr="000D1E27">
        <w:rPr>
          <w:rFonts w:ascii="Times New Roman" w:eastAsia="Times New Roman" w:hAnsi="Times New Roman" w:cs="Times New Roman"/>
          <w:color w:val="000000"/>
          <w:sz w:val="20"/>
          <w:szCs w:val="20"/>
        </w:rPr>
        <w:t>), Sec. 82, eff. September 1, 2013.</w:t>
      </w:r>
    </w:p>
    <w:p w14:paraId="7F355A9B"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2017, 85th Leg., R.S., Ch. 389 (S.B. </w:t>
      </w:r>
      <w:hyperlink r:id="rId20" w:tgtFrame="new" w:history="1">
        <w:r w:rsidRPr="000D1E27">
          <w:rPr>
            <w:rFonts w:ascii="Times New Roman" w:eastAsia="Times New Roman" w:hAnsi="Times New Roman" w:cs="Times New Roman"/>
            <w:color w:val="0000FF"/>
            <w:sz w:val="20"/>
            <w:szCs w:val="20"/>
            <w:u w:val="single"/>
          </w:rPr>
          <w:t>873</w:t>
        </w:r>
      </w:hyperlink>
      <w:r w:rsidRPr="000D1E27">
        <w:rPr>
          <w:rFonts w:ascii="Times New Roman" w:eastAsia="Times New Roman" w:hAnsi="Times New Roman" w:cs="Times New Roman"/>
          <w:color w:val="000000"/>
          <w:sz w:val="20"/>
          <w:szCs w:val="20"/>
        </w:rPr>
        <w:t>), Sec. 3, eff. June 1, 2017.</w:t>
      </w:r>
    </w:p>
    <w:p w14:paraId="3CE1F235"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4315A58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307B464B"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bookmarkStart w:id="8" w:name="13.504"/>
      <w:bookmarkStart w:id="9" w:name="74782.64336"/>
      <w:bookmarkEnd w:id="8"/>
      <w:bookmarkEnd w:id="9"/>
      <w:r w:rsidRPr="000D1E27">
        <w:rPr>
          <w:rFonts w:ascii="Times New Roman" w:eastAsia="Times New Roman" w:hAnsi="Times New Roman" w:cs="Times New Roman"/>
          <w:color w:val="000000"/>
          <w:sz w:val="20"/>
          <w:szCs w:val="20"/>
        </w:rPr>
        <w:t>Sec. 13.504.  IMPROPER RENTAL RATE INCREASE.  If, during the 90-day period preceding the installation of individual meters or submeters, an owner, operator, or manager of an apartment house, manufactured home rental community, or other multiple use facility has increased rental rates and the increase is attributable to increased costs of utilities, the owner, operator, or manager shall immediately reduce the rental rate by the amount of the increase and refund all of the increase that has previously been collected within the 90-day period.</w:t>
      </w:r>
    </w:p>
    <w:p w14:paraId="04446B77"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4FDB5AE5"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Acts 1987, 70th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539, Sec. 26, eff. Sept. 1, </w:t>
      </w:r>
      <w:proofErr w:type="gramStart"/>
      <w:r w:rsidRPr="000D1E27">
        <w:rPr>
          <w:rFonts w:ascii="Times New Roman" w:eastAsia="Times New Roman" w:hAnsi="Times New Roman" w:cs="Times New Roman"/>
          <w:color w:val="000000"/>
          <w:sz w:val="20"/>
          <w:szCs w:val="20"/>
        </w:rPr>
        <w:t>1987;  Acts</w:t>
      </w:r>
      <w:proofErr w:type="gramEnd"/>
      <w:r w:rsidRPr="000D1E27">
        <w:rPr>
          <w:rFonts w:ascii="Times New Roman" w:eastAsia="Times New Roman" w:hAnsi="Times New Roman" w:cs="Times New Roman"/>
          <w:color w:val="000000"/>
          <w:sz w:val="20"/>
          <w:szCs w:val="20"/>
        </w:rPr>
        <w:t xml:space="preserve"> 1989, 71st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567, Sec. 43, eff. Sept. 1, 1989;  Acts 1999, 76th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86, Sec. 1, eff. Aug. 30, 1999.</w:t>
      </w:r>
    </w:p>
    <w:p w14:paraId="2D3AD28B"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44ABDFAF"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10B11777"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bookmarkStart w:id="10" w:name="13.505"/>
      <w:bookmarkStart w:id="11" w:name="74783.160732"/>
      <w:bookmarkEnd w:id="10"/>
      <w:bookmarkEnd w:id="11"/>
      <w:r w:rsidRPr="000D1E27">
        <w:rPr>
          <w:rFonts w:ascii="Times New Roman" w:eastAsia="Times New Roman" w:hAnsi="Times New Roman" w:cs="Times New Roman"/>
          <w:color w:val="000000"/>
          <w:sz w:val="20"/>
          <w:szCs w:val="20"/>
        </w:rPr>
        <w:t xml:space="preserve">Sec. 13.505.  RESTITUTION.  (a)  In this section, "overcharge" means the amount, if any, a tenant is charged for </w:t>
      </w:r>
      <w:proofErr w:type="spellStart"/>
      <w:r w:rsidRPr="000D1E27">
        <w:rPr>
          <w:rFonts w:ascii="Times New Roman" w:eastAsia="Times New Roman" w:hAnsi="Times New Roman" w:cs="Times New Roman"/>
          <w:color w:val="000000"/>
          <w:sz w:val="20"/>
          <w:szCs w:val="20"/>
        </w:rPr>
        <w:t>submetered</w:t>
      </w:r>
      <w:proofErr w:type="spellEnd"/>
      <w:r w:rsidRPr="000D1E27">
        <w:rPr>
          <w:rFonts w:ascii="Times New Roman" w:eastAsia="Times New Roman" w:hAnsi="Times New Roman" w:cs="Times New Roman"/>
          <w:color w:val="000000"/>
          <w:sz w:val="20"/>
          <w:szCs w:val="20"/>
        </w:rPr>
        <w:t xml:space="preserve"> or </w:t>
      </w:r>
      <w:proofErr w:type="spellStart"/>
      <w:r w:rsidRPr="000D1E27">
        <w:rPr>
          <w:rFonts w:ascii="Times New Roman" w:eastAsia="Times New Roman" w:hAnsi="Times New Roman" w:cs="Times New Roman"/>
          <w:color w:val="000000"/>
          <w:sz w:val="20"/>
          <w:szCs w:val="20"/>
        </w:rPr>
        <w:t>nonsubmetered</w:t>
      </w:r>
      <w:proofErr w:type="spellEnd"/>
      <w:r w:rsidRPr="000D1E27">
        <w:rPr>
          <w:rFonts w:ascii="Times New Roman" w:eastAsia="Times New Roman" w:hAnsi="Times New Roman" w:cs="Times New Roman"/>
          <w:color w:val="000000"/>
          <w:sz w:val="20"/>
          <w:szCs w:val="20"/>
        </w:rPr>
        <w:t xml:space="preserve"> master metered utility service to the tenant's dwelling unit after a violation occurred relating to the assessment of a portion of utility costs in excess of the amount the tenant would have been charged under this subchapter.</w:t>
      </w:r>
    </w:p>
    <w:p w14:paraId="74DDF05E"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(b)  The utility commission has exclusive jurisdiction for violations under this subchapter.</w:t>
      </w:r>
    </w:p>
    <w:p w14:paraId="015B3293"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(c)  If an apartment house owner, condominium manager, manufactured home rental community owner, or other multiple use facility owner violates a rule of the utility commission regarding utility costs, the person claiming the violation may file a complaint with the utility commission.  The utility commission and State Office of Administrative Hearings shall establish an online and telephone formal complaint and hearing system through which a person may file a complaint under this subchapter and may appear remotely for a hearing before the utility commission or the State Office of Administrative Hearings.  If the utility commission determines that the owner or condominium manager overcharged a complaining tenant for water or wastewater service from the retail public </w:t>
      </w:r>
      <w:r w:rsidRPr="000D1E27">
        <w:rPr>
          <w:rFonts w:ascii="Times New Roman" w:eastAsia="Times New Roman" w:hAnsi="Times New Roman" w:cs="Times New Roman"/>
          <w:color w:val="000000"/>
          <w:sz w:val="20"/>
          <w:szCs w:val="20"/>
        </w:rPr>
        <w:lastRenderedPageBreak/>
        <w:t>utility, the utility commission shall require the owner or condominium manager, as applicable, to repay the complaining tenant the amount overcharged.</w:t>
      </w:r>
    </w:p>
    <w:p w14:paraId="22AFDE9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(d)  Nothing in this section limits or impairs the utility commission's enforcement authority under Subchapter K.  The utility commission may assess an administrative penalty under Section </w:t>
      </w:r>
      <w:hyperlink r:id="rId21" w:tgtFrame="new" w:history="1">
        <w:r w:rsidRPr="000D1E27">
          <w:rPr>
            <w:rFonts w:ascii="Times New Roman" w:eastAsia="Times New Roman" w:hAnsi="Times New Roman" w:cs="Times New Roman"/>
            <w:color w:val="0000FF"/>
            <w:sz w:val="20"/>
            <w:szCs w:val="20"/>
            <w:u w:val="single"/>
          </w:rPr>
          <w:t>13.4151</w:t>
        </w:r>
      </w:hyperlink>
      <w:r w:rsidRPr="000D1E27">
        <w:rPr>
          <w:rFonts w:ascii="Times New Roman" w:eastAsia="Times New Roman" w:hAnsi="Times New Roman" w:cs="Times New Roman"/>
          <w:color w:val="000000"/>
          <w:sz w:val="20"/>
          <w:szCs w:val="20"/>
        </w:rPr>
        <w:t xml:space="preserve"> for a violation of this chapter or of any rule adopted under this chapter.</w:t>
      </w:r>
    </w:p>
    <w:p w14:paraId="4FFAE84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67ADAB38"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Acts 1987, 70th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539, Sec. 26, eff. Sept. 1, </w:t>
      </w:r>
      <w:proofErr w:type="gramStart"/>
      <w:r w:rsidRPr="000D1E27">
        <w:rPr>
          <w:rFonts w:ascii="Times New Roman" w:eastAsia="Times New Roman" w:hAnsi="Times New Roman" w:cs="Times New Roman"/>
          <w:color w:val="000000"/>
          <w:sz w:val="20"/>
          <w:szCs w:val="20"/>
        </w:rPr>
        <w:t>1987;  Acts</w:t>
      </w:r>
      <w:proofErr w:type="gramEnd"/>
      <w:r w:rsidRPr="000D1E27">
        <w:rPr>
          <w:rFonts w:ascii="Times New Roman" w:eastAsia="Times New Roman" w:hAnsi="Times New Roman" w:cs="Times New Roman"/>
          <w:color w:val="000000"/>
          <w:sz w:val="20"/>
          <w:szCs w:val="20"/>
        </w:rPr>
        <w:t xml:space="preserve"> 1989, 71st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567, Sec. 43, eff. Sept. 1, 1989;  Acts 1999, 76th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86, Sec. 1, eff. Aug. 30, 1999.</w:t>
      </w:r>
    </w:p>
    <w:p w14:paraId="0C8E6727"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w:t>
      </w:r>
    </w:p>
    <w:p w14:paraId="4E17F48C"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170 (H.B. </w:t>
      </w:r>
      <w:hyperlink r:id="rId22" w:tgtFrame="new" w:history="1">
        <w:r w:rsidRPr="000D1E27">
          <w:rPr>
            <w:rFonts w:ascii="Times New Roman" w:eastAsia="Times New Roman" w:hAnsi="Times New Roman" w:cs="Times New Roman"/>
            <w:color w:val="0000FF"/>
            <w:sz w:val="20"/>
            <w:szCs w:val="20"/>
            <w:u w:val="single"/>
          </w:rPr>
          <w:t>1600</w:t>
        </w:r>
      </w:hyperlink>
      <w:r w:rsidRPr="000D1E27">
        <w:rPr>
          <w:rFonts w:ascii="Times New Roman" w:eastAsia="Times New Roman" w:hAnsi="Times New Roman" w:cs="Times New Roman"/>
          <w:color w:val="000000"/>
          <w:sz w:val="20"/>
          <w:szCs w:val="20"/>
        </w:rPr>
        <w:t>), Sec. 2.83, eff. September 1, 2013.</w:t>
      </w:r>
    </w:p>
    <w:p w14:paraId="080D6D3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2013, 83rd Leg., R.S., Ch. 171 (S.B. </w:t>
      </w:r>
      <w:hyperlink r:id="rId23" w:tgtFrame="new" w:history="1">
        <w:r w:rsidRPr="000D1E27">
          <w:rPr>
            <w:rFonts w:ascii="Times New Roman" w:eastAsia="Times New Roman" w:hAnsi="Times New Roman" w:cs="Times New Roman"/>
            <w:color w:val="0000FF"/>
            <w:sz w:val="20"/>
            <w:szCs w:val="20"/>
            <w:u w:val="single"/>
          </w:rPr>
          <w:t>567</w:t>
        </w:r>
      </w:hyperlink>
      <w:r w:rsidRPr="000D1E27">
        <w:rPr>
          <w:rFonts w:ascii="Times New Roman" w:eastAsia="Times New Roman" w:hAnsi="Times New Roman" w:cs="Times New Roman"/>
          <w:color w:val="000000"/>
          <w:sz w:val="20"/>
          <w:szCs w:val="20"/>
        </w:rPr>
        <w:t>), Sec. 83, eff. September 1, 2013.</w:t>
      </w:r>
    </w:p>
    <w:p w14:paraId="0624707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2017, 85th Leg., R.S., Ch. 389 (S.B. </w:t>
      </w:r>
      <w:hyperlink r:id="rId24" w:tgtFrame="new" w:history="1">
        <w:r w:rsidRPr="000D1E27">
          <w:rPr>
            <w:rFonts w:ascii="Times New Roman" w:eastAsia="Times New Roman" w:hAnsi="Times New Roman" w:cs="Times New Roman"/>
            <w:color w:val="0000FF"/>
            <w:sz w:val="20"/>
            <w:szCs w:val="20"/>
            <w:u w:val="single"/>
          </w:rPr>
          <w:t>873</w:t>
        </w:r>
      </w:hyperlink>
      <w:r w:rsidRPr="000D1E27">
        <w:rPr>
          <w:rFonts w:ascii="Times New Roman" w:eastAsia="Times New Roman" w:hAnsi="Times New Roman" w:cs="Times New Roman"/>
          <w:color w:val="000000"/>
          <w:sz w:val="20"/>
          <w:szCs w:val="20"/>
        </w:rPr>
        <w:t>), Sec. 4, eff. June 1, 2017.</w:t>
      </w:r>
    </w:p>
    <w:p w14:paraId="3EFC2F25"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6BA9801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60A32660"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bookmarkStart w:id="12" w:name="13.506"/>
      <w:bookmarkStart w:id="13" w:name="74784.64338"/>
      <w:bookmarkEnd w:id="12"/>
      <w:bookmarkEnd w:id="13"/>
      <w:r w:rsidRPr="000D1E27">
        <w:rPr>
          <w:rFonts w:ascii="Times New Roman" w:eastAsia="Times New Roman" w:hAnsi="Times New Roman" w:cs="Times New Roman"/>
          <w:color w:val="000000"/>
          <w:sz w:val="20"/>
          <w:szCs w:val="20"/>
        </w:rPr>
        <w:t xml:space="preserve">Sec. 13.506.  PLUMBING FIXTURES.  (a)  After January 1, 2003, before an owner of an apartment house, manufactured home rental community, or multiple use facility or a manager of a condominium may implement a program to bill tenants for </w:t>
      </w:r>
      <w:proofErr w:type="spellStart"/>
      <w:r w:rsidRPr="000D1E27">
        <w:rPr>
          <w:rFonts w:ascii="Times New Roman" w:eastAsia="Times New Roman" w:hAnsi="Times New Roman" w:cs="Times New Roman"/>
          <w:color w:val="000000"/>
          <w:sz w:val="20"/>
          <w:szCs w:val="20"/>
        </w:rPr>
        <w:t>submetered</w:t>
      </w:r>
      <w:proofErr w:type="spellEnd"/>
      <w:r w:rsidRPr="000D1E27">
        <w:rPr>
          <w:rFonts w:ascii="Times New Roman" w:eastAsia="Times New Roman" w:hAnsi="Times New Roman" w:cs="Times New Roman"/>
          <w:color w:val="000000"/>
          <w:sz w:val="20"/>
          <w:szCs w:val="20"/>
        </w:rPr>
        <w:t xml:space="preserve"> or allocated water service, the owner or manager must:</w:t>
      </w:r>
    </w:p>
    <w:p w14:paraId="6E042A2E"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(1)  meet the standards prescribed by Section </w:t>
      </w:r>
      <w:hyperlink r:id="rId25" w:tgtFrame="new" w:history="1">
        <w:r w:rsidRPr="000D1E27">
          <w:rPr>
            <w:rFonts w:ascii="Times New Roman" w:eastAsia="Times New Roman" w:hAnsi="Times New Roman" w:cs="Times New Roman"/>
            <w:color w:val="0000FF"/>
            <w:sz w:val="20"/>
            <w:szCs w:val="20"/>
            <w:u w:val="single"/>
          </w:rPr>
          <w:t>372.002</w:t>
        </w:r>
      </w:hyperlink>
      <w:r w:rsidRPr="000D1E27">
        <w:rPr>
          <w:rFonts w:ascii="Times New Roman" w:eastAsia="Times New Roman" w:hAnsi="Times New Roman" w:cs="Times New Roman"/>
          <w:color w:val="000000"/>
          <w:sz w:val="20"/>
          <w:szCs w:val="20"/>
        </w:rPr>
        <w:t xml:space="preserve">, Health and Safety Code, for sink or lavatory faucets, faucet aerators, and </w:t>
      </w:r>
      <w:proofErr w:type="gramStart"/>
      <w:r w:rsidRPr="000D1E27">
        <w:rPr>
          <w:rFonts w:ascii="Times New Roman" w:eastAsia="Times New Roman" w:hAnsi="Times New Roman" w:cs="Times New Roman"/>
          <w:color w:val="000000"/>
          <w:sz w:val="20"/>
          <w:szCs w:val="20"/>
        </w:rPr>
        <w:t>showerheads;  and</w:t>
      </w:r>
      <w:proofErr w:type="gramEnd"/>
    </w:p>
    <w:p w14:paraId="30D329D6"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(2)  perform a water leak audit of each dwelling unit or rental unit and each common area and repair any leaks found.</w:t>
      </w:r>
    </w:p>
    <w:p w14:paraId="2FF8CBC9"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(b)  Not later than the first anniversary of the date an owner of an apartment house, manufactured home rental community, or multiple use facility or a manager of a condominium begins to bill for </w:t>
      </w:r>
      <w:proofErr w:type="spellStart"/>
      <w:r w:rsidRPr="000D1E27">
        <w:rPr>
          <w:rFonts w:ascii="Times New Roman" w:eastAsia="Times New Roman" w:hAnsi="Times New Roman" w:cs="Times New Roman"/>
          <w:color w:val="000000"/>
          <w:sz w:val="20"/>
          <w:szCs w:val="20"/>
        </w:rPr>
        <w:t>submetered</w:t>
      </w:r>
      <w:proofErr w:type="spellEnd"/>
      <w:r w:rsidRPr="000D1E27">
        <w:rPr>
          <w:rFonts w:ascii="Times New Roman" w:eastAsia="Times New Roman" w:hAnsi="Times New Roman" w:cs="Times New Roman"/>
          <w:color w:val="000000"/>
          <w:sz w:val="20"/>
          <w:szCs w:val="20"/>
        </w:rPr>
        <w:t xml:space="preserve"> or allocated water service under Subsection (a), the owner or manager shall:</w:t>
      </w:r>
    </w:p>
    <w:p w14:paraId="76AEBE13"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(1)  remove any toilets that exceed a maximum flow of 3.5 gallons of water per </w:t>
      </w:r>
      <w:proofErr w:type="gramStart"/>
      <w:r w:rsidRPr="000D1E27">
        <w:rPr>
          <w:rFonts w:ascii="Times New Roman" w:eastAsia="Times New Roman" w:hAnsi="Times New Roman" w:cs="Times New Roman"/>
          <w:color w:val="000000"/>
          <w:sz w:val="20"/>
          <w:szCs w:val="20"/>
        </w:rPr>
        <w:t>flushing;  and</w:t>
      </w:r>
      <w:proofErr w:type="gramEnd"/>
    </w:p>
    <w:p w14:paraId="28BED9D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156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(2)  install toilets that meet the standards prescribed by Section </w:t>
      </w:r>
      <w:hyperlink r:id="rId26" w:tgtFrame="new" w:history="1">
        <w:r w:rsidRPr="000D1E27">
          <w:rPr>
            <w:rFonts w:ascii="Times New Roman" w:eastAsia="Times New Roman" w:hAnsi="Times New Roman" w:cs="Times New Roman"/>
            <w:color w:val="0000FF"/>
            <w:sz w:val="20"/>
            <w:szCs w:val="20"/>
            <w:u w:val="single"/>
          </w:rPr>
          <w:t>372.002</w:t>
        </w:r>
      </w:hyperlink>
      <w:r w:rsidRPr="000D1E27">
        <w:rPr>
          <w:rFonts w:ascii="Times New Roman" w:eastAsia="Times New Roman" w:hAnsi="Times New Roman" w:cs="Times New Roman"/>
          <w:color w:val="000000"/>
          <w:sz w:val="20"/>
          <w:szCs w:val="20"/>
        </w:rPr>
        <w:t>, Health and Safety Code.</w:t>
      </w:r>
    </w:p>
    <w:p w14:paraId="3CB8A99C"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(c)  Subsections (a) and (b) do not apply to a manufactured home rental community owner who does not own the manufactured homes located on the property of the manufactured home rental community.</w:t>
      </w:r>
    </w:p>
    <w:p w14:paraId="134F939A"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p>
    <w:p w14:paraId="6EDE2AD2"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Added by Acts 2001, 77th Leg., </w:t>
      </w:r>
      <w:proofErr w:type="spellStart"/>
      <w:r w:rsidRPr="000D1E27">
        <w:rPr>
          <w:rFonts w:ascii="Times New Roman" w:eastAsia="Times New Roman" w:hAnsi="Times New Roman" w:cs="Times New Roman"/>
          <w:color w:val="000000"/>
          <w:sz w:val="20"/>
          <w:szCs w:val="20"/>
        </w:rPr>
        <w:t>ch.</w:t>
      </w:r>
      <w:proofErr w:type="spellEnd"/>
      <w:r w:rsidRPr="000D1E27">
        <w:rPr>
          <w:rFonts w:ascii="Times New Roman" w:eastAsia="Times New Roman" w:hAnsi="Times New Roman" w:cs="Times New Roman"/>
          <w:color w:val="000000"/>
          <w:sz w:val="20"/>
          <w:szCs w:val="20"/>
        </w:rPr>
        <w:t xml:space="preserve"> 873, Sec. 2, eff. Sept. 1, 2001.</w:t>
      </w:r>
    </w:p>
    <w:p w14:paraId="5C1DBD1D"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Amended by: </w:t>
      </w:r>
    </w:p>
    <w:p w14:paraId="7BECE111" w14:textId="77777777" w:rsidR="000D1E27" w:rsidRPr="000D1E27" w:rsidRDefault="000D1E27" w:rsidP="000D1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840"/>
        <w:rPr>
          <w:rFonts w:ascii="Times New Roman" w:eastAsia="Times New Roman" w:hAnsi="Times New Roman" w:cs="Times New Roman"/>
          <w:color w:val="000000"/>
          <w:sz w:val="20"/>
          <w:szCs w:val="20"/>
        </w:rPr>
      </w:pPr>
      <w:r w:rsidRPr="000D1E27">
        <w:rPr>
          <w:rFonts w:ascii="Times New Roman" w:eastAsia="Times New Roman" w:hAnsi="Times New Roman" w:cs="Times New Roman"/>
          <w:color w:val="000000"/>
          <w:sz w:val="20"/>
          <w:szCs w:val="20"/>
        </w:rPr>
        <w:t xml:space="preserve">Acts 2009, 81st Leg., R.S., Ch. 1316 (H.B. </w:t>
      </w:r>
      <w:hyperlink r:id="rId27" w:tgtFrame="new" w:history="1">
        <w:r w:rsidRPr="000D1E27">
          <w:rPr>
            <w:rFonts w:ascii="Times New Roman" w:eastAsia="Times New Roman" w:hAnsi="Times New Roman" w:cs="Times New Roman"/>
            <w:color w:val="0000FF"/>
            <w:sz w:val="20"/>
            <w:szCs w:val="20"/>
            <w:u w:val="single"/>
          </w:rPr>
          <w:t>2667</w:t>
        </w:r>
      </w:hyperlink>
      <w:r w:rsidRPr="000D1E27">
        <w:rPr>
          <w:rFonts w:ascii="Times New Roman" w:eastAsia="Times New Roman" w:hAnsi="Times New Roman" w:cs="Times New Roman"/>
          <w:color w:val="000000"/>
          <w:sz w:val="20"/>
          <w:szCs w:val="20"/>
        </w:rPr>
        <w:t>), Sec. 5, eff. September 1, 2009</w:t>
      </w:r>
    </w:p>
    <w:p w14:paraId="5EC0A061" w14:textId="77777777" w:rsidR="008B682D" w:rsidRDefault="008B682D"/>
    <w:sectPr w:rsidR="008B68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E27"/>
    <w:rsid w:val="000D1E27"/>
    <w:rsid w:val="006E585B"/>
    <w:rsid w:val="008B682D"/>
    <w:rsid w:val="00C14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74E22"/>
  <w15:chartTrackingRefBased/>
  <w15:docId w15:val="{6703C3D9-0CFE-4D09-8E12-90EB38A4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91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state.tx.us/tlodocs/85R/billtext/html/SB00873F.HTM" TargetMode="External"/><Relationship Id="rId13" Type="http://schemas.openxmlformats.org/officeDocument/2006/relationships/hyperlink" Target="http://www.statutes.legis.state.tx.us/GetStatute.aspx?Code=GV&amp;Value=2306" TargetMode="External"/><Relationship Id="rId18" Type="http://schemas.openxmlformats.org/officeDocument/2006/relationships/hyperlink" Target="http://www.legis.state.tx.us/tlodocs/83R/billtext/html/HB01600F.HTM" TargetMode="External"/><Relationship Id="rId26" Type="http://schemas.openxmlformats.org/officeDocument/2006/relationships/hyperlink" Target="http://www.statutes.legis.state.tx.us/GetStatute.aspx?Code=HS&amp;Value=372.002" TargetMode="External"/><Relationship Id="rId3" Type="http://schemas.openxmlformats.org/officeDocument/2006/relationships/webSettings" Target="webSettings.xml"/><Relationship Id="rId21" Type="http://schemas.openxmlformats.org/officeDocument/2006/relationships/hyperlink" Target="http://www.statutes.legis.state.tx.us/GetStatute.aspx?Code=WA&amp;Value=13.4151" TargetMode="External"/><Relationship Id="rId7" Type="http://schemas.openxmlformats.org/officeDocument/2006/relationships/hyperlink" Target="http://www.legis.state.tx.us/tlodocs/83R/billtext/html/SB00567F.HTM" TargetMode="External"/><Relationship Id="rId12" Type="http://schemas.openxmlformats.org/officeDocument/2006/relationships/hyperlink" Target="http://www.statutes.legis.state.tx.us/GetStatute.aspx?Code=GV&amp;Value=2306.6701" TargetMode="External"/><Relationship Id="rId17" Type="http://schemas.openxmlformats.org/officeDocument/2006/relationships/hyperlink" Target="http://www.legis.state.tx.us/tlodocs/85R/billtext/html/SB00873F.HTM" TargetMode="External"/><Relationship Id="rId25" Type="http://schemas.openxmlformats.org/officeDocument/2006/relationships/hyperlink" Target="http://www.statutes.legis.state.tx.us/GetStatute.aspx?Code=HS&amp;Value=372.002" TargetMode="External"/><Relationship Id="rId2" Type="http://schemas.openxmlformats.org/officeDocument/2006/relationships/settings" Target="settings.xml"/><Relationship Id="rId16" Type="http://schemas.openxmlformats.org/officeDocument/2006/relationships/hyperlink" Target="http://www.legis.state.tx.us/tlodocs/83R/billtext/html/SB00567F.HTM" TargetMode="External"/><Relationship Id="rId20" Type="http://schemas.openxmlformats.org/officeDocument/2006/relationships/hyperlink" Target="http://www.legis.state.tx.us/tlodocs/85R/billtext/html/SB00873F.HT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legis.state.tx.us/tlodocs/83R/billtext/html/HB01600F.HTM" TargetMode="External"/><Relationship Id="rId11" Type="http://schemas.openxmlformats.org/officeDocument/2006/relationships/hyperlink" Target="http://www.statutes.legis.state.tx.us/GetStatute.aspx?Code=WA&amp;Value=13.140" TargetMode="External"/><Relationship Id="rId24" Type="http://schemas.openxmlformats.org/officeDocument/2006/relationships/hyperlink" Target="http://www.legis.state.tx.us/tlodocs/85R/billtext/html/SB00873F.HTM" TargetMode="External"/><Relationship Id="rId5" Type="http://schemas.openxmlformats.org/officeDocument/2006/relationships/hyperlink" Target="http://www.statutes.legis.state.tx.us/GetStatute.aspx?Code=PR&amp;Value=81" TargetMode="External"/><Relationship Id="rId15" Type="http://schemas.openxmlformats.org/officeDocument/2006/relationships/hyperlink" Target="http://www.legis.state.tx.us/tlodocs/83R/billtext/html/HB01600F.HTM" TargetMode="External"/><Relationship Id="rId23" Type="http://schemas.openxmlformats.org/officeDocument/2006/relationships/hyperlink" Target="http://www.legis.state.tx.us/tlodocs/83R/billtext/html/SB00567F.HTM" TargetMode="External"/><Relationship Id="rId28" Type="http://schemas.openxmlformats.org/officeDocument/2006/relationships/fontTable" Target="fontTable.xml"/><Relationship Id="rId10" Type="http://schemas.openxmlformats.org/officeDocument/2006/relationships/hyperlink" Target="http://www.legis.state.tx.us/tlodocs/83R/billtext/html/SB00567F.HTM" TargetMode="External"/><Relationship Id="rId19" Type="http://schemas.openxmlformats.org/officeDocument/2006/relationships/hyperlink" Target="http://www.legis.state.tx.us/tlodocs/83R/billtext/html/SB00567F.HTM" TargetMode="External"/><Relationship Id="rId4" Type="http://schemas.openxmlformats.org/officeDocument/2006/relationships/hyperlink" Target="http://www.statutes.legis.state.tx.us/GetStatute.aspx?Code=PR&amp;Value=82.101" TargetMode="External"/><Relationship Id="rId9" Type="http://schemas.openxmlformats.org/officeDocument/2006/relationships/hyperlink" Target="http://www.legis.state.tx.us/tlodocs/83R/billtext/html/HB01600F.HTM" TargetMode="External"/><Relationship Id="rId14" Type="http://schemas.openxmlformats.org/officeDocument/2006/relationships/hyperlink" Target="http://www.legis.state.tx.us/tlodocs/81R/billtext/html/SB02126F.HTM" TargetMode="External"/><Relationship Id="rId22" Type="http://schemas.openxmlformats.org/officeDocument/2006/relationships/hyperlink" Target="http://www.legis.state.tx.us/tlodocs/83R/billtext/html/HB01600F.HTM" TargetMode="External"/><Relationship Id="rId27" Type="http://schemas.openxmlformats.org/officeDocument/2006/relationships/hyperlink" Target="http://www.legis.state.tx.us/tlodocs/81R/billtext/html/HB02667F.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2898</Words>
  <Characters>16525</Characters>
  <Application>Microsoft Office Word</Application>
  <DocSecurity>0</DocSecurity>
  <Lines>137</Lines>
  <Paragraphs>38</Paragraphs>
  <ScaleCrop>false</ScaleCrop>
  <Company/>
  <LinksUpToDate>false</LinksUpToDate>
  <CharactersWithSpaces>19385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dc:creator>
  <cp:keywords/>
  <dc:description/>
  <cp:lastModifiedBy>Con</cp:lastModifiedBy>
  <cp:revision>1</cp:revision>
  <dcterms:created xsi:type="dcterms:W3CDTF">2020-12-18T17:44:00Z</dcterms:created>
  <dcterms:modified xsi:type="dcterms:W3CDTF">2020-12-18T17:48:00Z</dcterms:modified>
</cp:coreProperties>
</file>